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28"/>
          <w:szCs w:val="28"/>
        </w:rPr>
      </w:pPr>
      <w:r>
        <w:rPr>
          <w:rFonts w:hint="eastAsia"/>
          <w:sz w:val="28"/>
          <w:szCs w:val="28"/>
          <w:lang w:val="en-US" w:eastAsia="zh-CN"/>
        </w:rPr>
        <w:t>学校</w:t>
      </w:r>
      <w:r>
        <w:rPr>
          <w:rFonts w:hint="eastAsia"/>
          <w:sz w:val="28"/>
          <w:szCs w:val="28"/>
          <w:lang w:eastAsia="zh-CN"/>
        </w:rPr>
        <w:t>工美</w:t>
      </w:r>
      <w:r>
        <w:rPr>
          <w:rFonts w:hint="eastAsia"/>
          <w:sz w:val="28"/>
          <w:szCs w:val="28"/>
          <w:lang w:val="en-US" w:eastAsia="zh-CN"/>
        </w:rPr>
        <w:t>陶</w:t>
      </w:r>
      <w:r>
        <w:rPr>
          <w:rFonts w:hint="eastAsia"/>
          <w:sz w:val="28"/>
          <w:szCs w:val="28"/>
          <w:lang w:eastAsia="zh-CN"/>
        </w:rPr>
        <w:t>艺</w:t>
      </w:r>
      <w:r>
        <w:rPr>
          <w:rFonts w:hint="eastAsia"/>
          <w:sz w:val="28"/>
          <w:szCs w:val="28"/>
          <w:lang w:val="en-US" w:eastAsia="zh-CN"/>
        </w:rPr>
        <w:t>实训设备采购</w:t>
      </w:r>
      <w:r>
        <w:rPr>
          <w:rFonts w:hint="eastAsia"/>
          <w:sz w:val="28"/>
          <w:szCs w:val="28"/>
        </w:rPr>
        <w:t>清单</w:t>
      </w:r>
    </w:p>
    <w:tbl>
      <w:tblPr>
        <w:tblStyle w:val="4"/>
        <w:tblW w:w="15204" w:type="dxa"/>
        <w:tblInd w:w="93" w:type="dxa"/>
        <w:tblLayout w:type="fixed"/>
        <w:tblCellMar>
          <w:top w:w="0" w:type="dxa"/>
          <w:left w:w="108" w:type="dxa"/>
          <w:bottom w:w="0" w:type="dxa"/>
          <w:right w:w="108" w:type="dxa"/>
        </w:tblCellMar>
      </w:tblPr>
      <w:tblGrid>
        <w:gridCol w:w="984"/>
        <w:gridCol w:w="11570"/>
        <w:gridCol w:w="750"/>
        <w:gridCol w:w="820"/>
        <w:gridCol w:w="1080"/>
      </w:tblGrid>
      <w:tr>
        <w:tblPrEx>
          <w:tblCellMar>
            <w:top w:w="0" w:type="dxa"/>
            <w:left w:w="108" w:type="dxa"/>
            <w:bottom w:w="0" w:type="dxa"/>
            <w:right w:w="108"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品名</w:t>
            </w:r>
          </w:p>
        </w:tc>
        <w:tc>
          <w:tcPr>
            <w:tcW w:w="1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数量</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单价（元）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6"/>
                <w:rFonts w:hint="eastAsia" w:asciiTheme="majorEastAsia" w:hAnsiTheme="majorEastAsia" w:eastAsiaTheme="majorEastAsia" w:cstheme="majorEastAsia"/>
                <w:sz w:val="21"/>
                <w:szCs w:val="21"/>
                <w:lang w:val="en-US" w:eastAsia="zh-CN" w:bidi="ar"/>
              </w:rPr>
            </w:pPr>
            <w:r>
              <w:rPr>
                <w:rStyle w:val="6"/>
                <w:rFonts w:hint="eastAsia" w:asciiTheme="majorEastAsia" w:hAnsiTheme="majorEastAsia" w:eastAsiaTheme="majorEastAsia" w:cstheme="majorEastAsia"/>
                <w:sz w:val="21"/>
                <w:szCs w:val="21"/>
                <w:lang w:val="en-US" w:eastAsia="zh-CN" w:bidi="ar"/>
              </w:rPr>
              <w:t>小计</w:t>
            </w:r>
          </w:p>
          <w:p>
            <w:pPr>
              <w:widowControl/>
              <w:jc w:val="center"/>
              <w:textAlignment w:val="center"/>
              <w:rPr>
                <w:rStyle w:val="6"/>
                <w:rFonts w:hint="eastAsia" w:asciiTheme="majorEastAsia" w:hAnsiTheme="majorEastAsia" w:eastAsiaTheme="majorEastAsia" w:cstheme="majorEastAsia"/>
                <w:sz w:val="21"/>
                <w:szCs w:val="21"/>
                <w:lang w:val="en-US" w:eastAsia="zh-CN" w:bidi="ar"/>
              </w:rPr>
            </w:pPr>
            <w:r>
              <w:rPr>
                <w:rStyle w:val="6"/>
                <w:rFonts w:hint="eastAsia" w:asciiTheme="majorEastAsia" w:hAnsiTheme="majorEastAsia" w:eastAsiaTheme="majorEastAsia" w:cstheme="majorEastAsia"/>
                <w:sz w:val="21"/>
                <w:szCs w:val="21"/>
                <w:lang w:val="en-US" w:eastAsia="zh-CN" w:bidi="ar"/>
              </w:rPr>
              <w:t>（元）</w:t>
            </w:r>
          </w:p>
        </w:tc>
      </w:tr>
      <w:tr>
        <w:tblPrEx>
          <w:tblCellMar>
            <w:top w:w="0" w:type="dxa"/>
            <w:left w:w="108" w:type="dxa"/>
            <w:bottom w:w="0" w:type="dxa"/>
            <w:right w:w="108"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拉坯机</w:t>
            </w:r>
          </w:p>
        </w:tc>
        <w:tc>
          <w:tcPr>
            <w:tcW w:w="1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val="en-US" w:eastAsia="zh-CN" w:bidi="ar"/>
              </w:rPr>
              <w:t>1.</w:t>
            </w:r>
            <w:r>
              <w:rPr>
                <w:rFonts w:hint="eastAsia" w:asciiTheme="majorEastAsia" w:hAnsiTheme="majorEastAsia" w:eastAsiaTheme="majorEastAsia" w:cstheme="majorEastAsia"/>
                <w:color w:val="000000"/>
                <w:kern w:val="0"/>
                <w:sz w:val="21"/>
                <w:szCs w:val="21"/>
                <w:lang w:bidi="ar"/>
              </w:rPr>
              <w:t>马达: 400W  AC230V  50HZ  单相</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val="en-US" w:eastAsia="zh-CN" w:bidi="ar"/>
              </w:rPr>
              <w:t>2.</w:t>
            </w:r>
            <w:r>
              <w:rPr>
                <w:rFonts w:hint="eastAsia" w:asciiTheme="majorEastAsia" w:hAnsiTheme="majorEastAsia" w:eastAsiaTheme="majorEastAsia" w:cstheme="majorEastAsia"/>
                <w:color w:val="000000"/>
                <w:kern w:val="0"/>
                <w:sz w:val="21"/>
                <w:szCs w:val="21"/>
                <w:lang w:bidi="ar"/>
              </w:rPr>
              <w:t xml:space="preserve">驱动系统: DC 马达         </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val="en-US" w:eastAsia="zh-CN" w:bidi="ar"/>
              </w:rPr>
              <w:t>3.</w:t>
            </w:r>
            <w:r>
              <w:rPr>
                <w:rFonts w:hint="eastAsia" w:asciiTheme="majorEastAsia" w:hAnsiTheme="majorEastAsia" w:eastAsiaTheme="majorEastAsia" w:cstheme="majorEastAsia"/>
                <w:color w:val="000000"/>
                <w:kern w:val="0"/>
                <w:sz w:val="21"/>
                <w:szCs w:val="21"/>
                <w:lang w:bidi="ar"/>
              </w:rPr>
              <w:t>最大载泥量: 13KG</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val="en-US" w:eastAsia="zh-CN" w:bidi="ar"/>
              </w:rPr>
              <w:t>4.</w:t>
            </w:r>
            <w:r>
              <w:rPr>
                <w:rFonts w:hint="eastAsia" w:asciiTheme="majorEastAsia" w:hAnsiTheme="majorEastAsia" w:eastAsiaTheme="majorEastAsia" w:cstheme="majorEastAsia"/>
                <w:color w:val="000000"/>
                <w:kern w:val="0"/>
                <w:sz w:val="21"/>
                <w:szCs w:val="21"/>
                <w:lang w:bidi="ar"/>
              </w:rPr>
              <w:t>转盘转速: 0~250转/分</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val="en-US" w:eastAsia="zh-CN" w:bidi="ar"/>
              </w:rPr>
              <w:t>5.</w:t>
            </w:r>
            <w:r>
              <w:rPr>
                <w:rFonts w:hint="eastAsia" w:asciiTheme="majorEastAsia" w:hAnsiTheme="majorEastAsia" w:eastAsiaTheme="majorEastAsia" w:cstheme="majorEastAsia"/>
                <w:color w:val="000000"/>
                <w:kern w:val="0"/>
                <w:sz w:val="21"/>
                <w:szCs w:val="21"/>
                <w:lang w:bidi="ar"/>
              </w:rPr>
              <w:t>速度控制器: 可移动的脚踏板</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val="en-US" w:eastAsia="zh-CN" w:bidi="ar"/>
              </w:rPr>
              <w:t>6.</w:t>
            </w:r>
            <w:r>
              <w:rPr>
                <w:rFonts w:hint="eastAsia" w:asciiTheme="majorEastAsia" w:hAnsiTheme="majorEastAsia" w:eastAsiaTheme="majorEastAsia" w:cstheme="majorEastAsia"/>
                <w:color w:val="000000"/>
                <w:kern w:val="0"/>
                <w:sz w:val="21"/>
                <w:szCs w:val="21"/>
                <w:lang w:bidi="ar"/>
              </w:rPr>
              <w:t>转盘旋转方向: 正反转皆可</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val="en-US" w:eastAsia="zh-CN" w:bidi="ar"/>
              </w:rPr>
              <w:t>7.</w:t>
            </w:r>
            <w:r>
              <w:rPr>
                <w:rFonts w:hint="eastAsia" w:asciiTheme="majorEastAsia" w:hAnsiTheme="majorEastAsia" w:eastAsiaTheme="majorEastAsia" w:cstheme="majorEastAsia"/>
                <w:color w:val="000000"/>
                <w:kern w:val="0"/>
                <w:sz w:val="21"/>
                <w:szCs w:val="21"/>
                <w:lang w:bidi="ar"/>
              </w:rPr>
              <w:t>转盘: 铝合金, 直径:  300mm</w:t>
            </w:r>
            <w:bookmarkStart w:id="0" w:name="_GoBack"/>
            <w:bookmarkEnd w:id="0"/>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val="en-US" w:eastAsia="zh-CN" w:bidi="ar"/>
              </w:rPr>
              <w:t>8.</w:t>
            </w:r>
            <w:r>
              <w:rPr>
                <w:rFonts w:hint="eastAsia" w:asciiTheme="majorEastAsia" w:hAnsiTheme="majorEastAsia" w:eastAsiaTheme="majorEastAsia" w:cstheme="majorEastAsia"/>
                <w:color w:val="000000"/>
                <w:kern w:val="0"/>
                <w:sz w:val="21"/>
                <w:szCs w:val="21"/>
                <w:lang w:bidi="ar"/>
              </w:rPr>
              <w:t>外观尺寸: W560×L720×H545(mm)</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val="en-US" w:eastAsia="zh-CN" w:bidi="ar"/>
              </w:rPr>
              <w:t>9.</w:t>
            </w:r>
            <w:r>
              <w:rPr>
                <w:rFonts w:hint="eastAsia" w:asciiTheme="majorEastAsia" w:hAnsiTheme="majorEastAsia" w:eastAsiaTheme="majorEastAsia" w:cstheme="majorEastAsia"/>
                <w:color w:val="000000"/>
                <w:kern w:val="0"/>
                <w:sz w:val="21"/>
                <w:szCs w:val="21"/>
                <w:lang w:bidi="ar"/>
              </w:rPr>
              <w:t>重量: 25kg</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10.主电机采用DD直驱电机无皮带传动，通过主板程序软件控制，可使电机在低速（3转/分钟）状态下保证大扭力输出，运行流畅。</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11.速度控制系统采用稳定的PWM控制使可移动脚踏板调速，节能省电，大扭力输出。加减速无延时，通过控制器和主控面板双向调节，可以急启急停，且急停后不会出现回摆造成坯体变形。</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12.脚踏板采用铝合金材料压铸开模，通过压铸机一体成型，确保脚踏板整体结构坚固耐用。产品整体外观采用高分子静电粉末喷涂技术进行喷涂，使产品抗腐蚀性、疲劳强度好、表面光洁，质感舒适等特点。</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 xml:space="preserve">13.产品从电机到外形钣金，充分考虑整体设计的科学稳定性，噪音控制在40dB以下，有效降低整个拉坯作业噪声。。              </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14.拉坯机框架采用DC01冷轧板，采用数控折弯机一次成型，有效控制折弯精度，使得整体结构一体化，有效防水，结构稳定。通过除油去锈抛光表面处理，使机身能在高低温环境中具备良好的焊接和喷涂性能，表面喷涂经过高温粉末静电处理，使结构表面呈现亮光质感，易打理，防掉漆。更扎实，坚固耐用，运行更平稳。</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15.水盆采用耐抗冲强度和耐候性高的工程注塑开模，在-30℃抗冲击强度达到9KJ/M2. 该材料具有高流动性、光洁性、抗高温性佳的特性，使水盆内侧光滑平整，易于快速清洗。具有抗腐蚀性、耐用性、抗变形。</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16.采用稳定的船型开关的设计，使用更方便和稳定；正反转调节采用隐形触点开关，减少在使用过程中误操作造成作品损坏。</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17.采用防静电插头设计，使用更安全便捷。</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18.实木拉坯凳：1张（1.尺寸：L330*W230*H300mm；2.凳面厚度:20mm；3.凳面材质：实木板；4.结构: 实木框架结构；5.桌腿材质：实木）</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19.拉坯工具包：1套（拉坯工具10件套（木质）、木柄割泥线1根、小铲刀1把、折叠小水桶1个、齐妙陶袖套1双、不锈钢刮片10件套）</w:t>
            </w:r>
          </w:p>
          <w:p>
            <w:pPr>
              <w:widowControl/>
              <w:jc w:val="left"/>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21.围裙：2条（材质：布料；尺寸：96*58cm）</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p>
        </w:tc>
      </w:tr>
      <w:tr>
        <w:tblPrEx>
          <w:tblCellMar>
            <w:top w:w="0" w:type="dxa"/>
            <w:left w:w="108" w:type="dxa"/>
            <w:bottom w:w="0" w:type="dxa"/>
            <w:right w:w="108"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石膏车</w:t>
            </w:r>
          </w:p>
        </w:tc>
        <w:tc>
          <w:tcPr>
            <w:tcW w:w="1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1.尺寸：740*370*810mm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2.石膏车石膏采用特制石膏粉，易于成型，结实耐用，吸水性好。该材料耐压370KG/CM2,膨胀率0.1%，引张14kg/cm2，不仅可以提高平台耐压强度，而且便于吸收作品水分。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3.框架材质为角铁，表面质量好，光洁度高，具有优良的焊接和喷涂性能；外形美观，结实耐用。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4.石膏车框架喷漆为一次性完成底漆和面漆，表面色泽美观、安全可靠、附着力强的特点，同时具备耐磨性高、耐候性强的特性。</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5.石膏板用木框做边，使石膏板边缘与石膏车不直接接触，消除了石膏车边缘生锈的问题，同时木框可移动，方便用户更换石膏板。</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6.石膏车分上下两层，可用于干燥泥板及拉坯捏雕作品，有效吸收作品水份。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eastAsia="zh-CN" w:bidi="ar"/>
              </w:rPr>
            </w:pPr>
            <w:r>
              <w:rPr>
                <w:rFonts w:hint="eastAsia" w:asciiTheme="majorEastAsia" w:hAnsiTheme="majorEastAsia" w:eastAsiaTheme="majorEastAsia" w:cstheme="majorEastAsia"/>
                <w:color w:val="000000"/>
                <w:kern w:val="0"/>
                <w:sz w:val="21"/>
                <w:szCs w:val="21"/>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r>
      <w:tr>
        <w:tblPrEx>
          <w:tblCellMar>
            <w:top w:w="0" w:type="dxa"/>
            <w:left w:w="108" w:type="dxa"/>
            <w:bottom w:w="0" w:type="dxa"/>
            <w:right w:w="108"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bidi="ar"/>
              </w:rPr>
              <w:t>练泥机</w:t>
            </w:r>
            <w:r>
              <w:rPr>
                <w:rFonts w:hint="eastAsia" w:asciiTheme="majorEastAsia" w:hAnsiTheme="majorEastAsia" w:eastAsiaTheme="majorEastAsia" w:cstheme="majorEastAsia"/>
                <w:color w:val="000000"/>
                <w:kern w:val="0"/>
                <w:sz w:val="21"/>
                <w:szCs w:val="21"/>
                <w:lang w:val="en-US" w:eastAsia="zh-CN" w:bidi="ar"/>
              </w:rPr>
              <w:t>1</w:t>
            </w:r>
          </w:p>
        </w:tc>
        <w:tc>
          <w:tcPr>
            <w:tcW w:w="1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1、外观尺寸:长宽高分别不大于665(1025包含托板) mm×335 mm×560(mm)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2、重量: 主体≤75kg   托泥板:  5kg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3、主马达：单相 220V，不大于300W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4、出泥能力：不小于400kg/小时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5、出泥口径：不小于90mm；出泥口必须有安装固定出泥模具的螺纹孔。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6、练泥轴：混泥箱：双练泥轴；出泥口：单练泥轴 。整机采用全封闭设计，主马达不外漏，安全、噪音低、小巧、占用空间小。</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7、材质：练泥轴材质: SCS13不锈钢铸件；练泥箱材质: 不锈钢铸件</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8、童锁装置：产品投泥口配有安全断路器，打开投泥时练泥机滚轴暂停转动，投泥口盖子盖上后滚轴自动启动，有效防止操作人员或学生在机器运转时头发、衣服、围巾、手等异物的卷入导致的人身安全问题。</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9、双轴练泥轴在机器运转时相向旋转，有效吸入、搅投泥口的投泥，不需要人为用力向投泥口压入泥巴。</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10、粘土搅拌箱到出泥口，能够接触到土的部分全部使用的不锈钢，机器坚固耐用的同时有效防止生锈。投泥口和泥料搅拌箱采用可拆卸的不锈钢结构，可练制各种不同品种的各色泥料。</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11、机身底部4个支脚中有1个支脚的高度可以调节，有效对应机器放置地面不平整，导致机身摇晃的问题。</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12、练泥机的内部结构采用筛网过筛结构，拆卸机器投泥口可见筛网结构的过筛设计，泥料在练泥工作腔搅拌完成后向出泥腔挤压过程中经过筛网结构的小孔过筛挤压后，可以增加泥料的真空度和韧性，增加泥料练制的工作效率。并且有效过筛泥料中的杂物防止杂物对机器的损害。如有杂物堵塞，拆卸机器投泥口结构可以简单清除杂物。</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eastAsia="zh-CN" w:bidi="ar"/>
              </w:rPr>
            </w:pPr>
            <w:r>
              <w:rPr>
                <w:rFonts w:hint="eastAsia" w:asciiTheme="majorEastAsia" w:hAnsiTheme="majorEastAsia" w:eastAsiaTheme="majorEastAsia" w:cstheme="majorEastAsia"/>
                <w:color w:val="000000"/>
                <w:kern w:val="0"/>
                <w:sz w:val="21"/>
                <w:szCs w:val="21"/>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r>
      <w:tr>
        <w:tblPrEx>
          <w:tblCellMar>
            <w:top w:w="0" w:type="dxa"/>
            <w:left w:w="108" w:type="dxa"/>
            <w:bottom w:w="0" w:type="dxa"/>
            <w:right w:w="108"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bidi="ar"/>
              </w:rPr>
              <w:t>练泥机</w:t>
            </w:r>
            <w:r>
              <w:rPr>
                <w:rFonts w:hint="eastAsia" w:asciiTheme="majorEastAsia" w:hAnsiTheme="majorEastAsia" w:eastAsiaTheme="majorEastAsia" w:cstheme="majorEastAsia"/>
                <w:color w:val="000000"/>
                <w:kern w:val="0"/>
                <w:sz w:val="21"/>
                <w:szCs w:val="21"/>
                <w:lang w:val="en-US" w:eastAsia="zh-CN" w:bidi="ar"/>
              </w:rPr>
              <w:t>2</w:t>
            </w:r>
          </w:p>
        </w:tc>
        <w:tc>
          <w:tcPr>
            <w:tcW w:w="1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外型尺寸：1250*400*900mm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生产能力:300kg/h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电源:AC220V 、2.05KW(主电机：1.5KW 真空泵：0.55KW)</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机重：≤150kg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出泥口直径：60mm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颜色：深色冷灰</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接泥凳：木滚接泥凳一台</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选配：1.可根据实际需求定制不同接泥凳，方便实际使用操作；</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      2.可定制出泥口最大口径为90MM的出泥模具；</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备注：可定制380V电压，价格、产品规格和详细参数不变；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产品特点：</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1.练泥机减速控制系统采用单相双值电容电机驱动，该电机具有高效节能，启动转矩大，噪音低,噪音≤68dB。结构合理，运行可靠，外形美观大方的特点。</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2.练泥机框架采用国标优质钢材，表面质量好，光洁度高，具有优良的焊接和喷涂性能；混泥箱和练泥轴采用304不锈钢材质，具有良好的耐蚀性、耐热性，低温强度和机械特性。投泥口采用不锈钢料材料加工而成，外表美观透明，方便实用、安全保湿。出泥口采用质地 柔软、密封好的高分子材料制作而成，安全保湿、方便实用。</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3.练泥机框架喷涂采用高温金属烤漆技术，表面具备色泽美观、安全可靠、附着力强的特点，同时具备耐磨性高、耐候性强的特性。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4.练泥机泥桶采用304不锈钢材料成型，有效保持泥桶强度。其中镍含量≥8%，铬含量≧18%.该材质具有良好的耐蚀性、耐热性，低温强度和机械特性；冲压、弯曲等热加工性好，无热处理硬化现象使练泥机泥桶结构坚固耐用。储泥箱封盖使用不锈钢材料加工成型，干净整洁，结实耐用。</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 xml:space="preserve">5.产品采用旋片式真空泵，具有良好的抽气速率和真空度，其中抽气速率达到了14.4m3/h,极限真空2Pa。减速机构采用两级高强度齿轮传动，与传统摆线针轮传动相比，运转更可靠，更结实耐用。主电机出力大，当泥料含水率低，也能出泥，不易造成堵塞。加料斗尺寸大、搅泥刀数量多，方便对不同湿度泥料搅拌均匀。产品真空度高，安全可靠，稳定性高，维护、维修便捷。                                              </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6.产品配备不锈钢压泥装置，方便使用者临时按压泥块，减少使用风险和异物进入练泥机；</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7.练泥机钣金采用冷轧板进行密封处理，不仅可以有效降低噪音，而且美观大方。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1台</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r>
      <w:tr>
        <w:tblPrEx>
          <w:tblCellMar>
            <w:top w:w="0" w:type="dxa"/>
            <w:left w:w="108" w:type="dxa"/>
            <w:bottom w:w="0" w:type="dxa"/>
            <w:right w:w="108"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可升降式晾坯架</w:t>
            </w:r>
          </w:p>
        </w:tc>
        <w:tc>
          <w:tcPr>
            <w:tcW w:w="1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1.尺寸：L1500*W500*H1800mm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2.材质：冷轧钢+实木</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3.结构：拼接式结构</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4.产品设计采用可拆卸式结构，不仅方便控制层板之间距离，而且可以自由拆装拼接，根据场地大小进行定制安装；</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5.主架采用加粗加厚冷轧钢材（立柱宽度为80MM，横梁宽度达60MM），立柱横撑与斜撑采用焊接结束固定，焊点光滑美观，更牢固结实耐用，承重性强，货物存储更放心安全；</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6.卡扣采用蝴蝶孔安装，不需要任何螺丝，通过横梁挂件设计，与蝴蝶孔插接组合，随意调整间距，拆装更便捷；</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7.喷涂采用静电喷涂技术，颜色稳定性好，抗腐蚀性强，使用寿命更长久；</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8.层板采用标准为37*50*2CM实木层板（层板下加承重横梁），单层配备三块实木板，配备四层共计12块实木板。</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19</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r>
      <w:tr>
        <w:tblPrEx>
          <w:tblCellMar>
            <w:top w:w="0" w:type="dxa"/>
            <w:left w:w="108" w:type="dxa"/>
            <w:bottom w:w="0" w:type="dxa"/>
            <w:right w:w="108"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定速打浆机</w:t>
            </w:r>
          </w:p>
        </w:tc>
        <w:tc>
          <w:tcPr>
            <w:tcW w:w="1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电压：220V</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功率：375W</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单次生产量：100KG/次</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搅拌杆材质：304不锈钢</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旋转方向：逆时针</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外形尺寸：50*80*90CM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1.产品以常用陶艺工作室实际需求情况，结合人体工程学，方便泥浆制作搅拌均匀</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2.设备底部增加承重横梁，方便移动和搬运；</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3.以机械均匀搅料代替手工操作，从而大大减轻了工人劳动强度。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eastAsia="zh-CN" w:bidi="ar"/>
              </w:rPr>
            </w:pPr>
            <w:r>
              <w:rPr>
                <w:rFonts w:hint="eastAsia" w:asciiTheme="majorEastAsia" w:hAnsiTheme="majorEastAsia" w:eastAsiaTheme="majorEastAsia" w:cstheme="majorEastAsia"/>
                <w:color w:val="000000"/>
                <w:kern w:val="0"/>
                <w:sz w:val="21"/>
                <w:szCs w:val="21"/>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r>
      <w:tr>
        <w:tblPrEx>
          <w:tblCellMar>
            <w:top w:w="0" w:type="dxa"/>
            <w:left w:w="108" w:type="dxa"/>
            <w:bottom w:w="0" w:type="dxa"/>
            <w:right w:w="108"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注浆工作台</w:t>
            </w:r>
          </w:p>
        </w:tc>
        <w:tc>
          <w:tcPr>
            <w:tcW w:w="1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1.尺寸：2000*1050*700MM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2.材质：201拉丝不锈钢板，厚度≥1MM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3.桌架：201不锈钢方管50*50MM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4.注浆工作台整体设计按照方便上课和降低噪音为理念，在整个台面和六个腿脚增加缓冲隔音装置，降低操作过程中噪音的污染；</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5.注浆工作台考虑运输和收纳功能，采用台面可台体框架可拆卸设置，方便移动和收纳；</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6.桌面设计为2.2m宽1.05m一边高70cm另一处低于70cm（±5%），桌架材质为201不锈钢方钢35*35厚0.7mm（±5%）,桌面201不锈钢厚1mm，横档用20根201不锈钢方钢50*50；</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7.桌面纵向三等分，为35cm、35cm、35cm，第二等分为过滤网；</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8.中间泥浆槽宽度0.35米不锈钢铁皮0.35cm喇叭口35度倾斜便于泥浆流动;</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9.泥浆槽最低处离地高度不低于12cm；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10.工作台中过滤网框采用翻转设计，方便进行泥浆槽清理；</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11.整个工作台台面清洁整齐，周边抛光打磨，圆润光滑，易于清理；</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12.注浆工作台根据学校实际需要，可选配透明PVC台垫或相似功能设施。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eastAsia="zh-CN" w:bidi="ar"/>
              </w:rPr>
            </w:pPr>
            <w:r>
              <w:rPr>
                <w:rFonts w:hint="eastAsia" w:asciiTheme="majorEastAsia" w:hAnsiTheme="majorEastAsia" w:eastAsiaTheme="majorEastAsia" w:cstheme="majorEastAsia"/>
                <w:color w:val="000000"/>
                <w:kern w:val="0"/>
                <w:sz w:val="21"/>
                <w:szCs w:val="21"/>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r>
      <w:tr>
        <w:tblPrEx>
          <w:tblCellMar>
            <w:top w:w="0" w:type="dxa"/>
            <w:left w:w="108" w:type="dxa"/>
            <w:bottom w:w="0" w:type="dxa"/>
            <w:right w:w="108"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沉淀洗手池</w:t>
            </w:r>
          </w:p>
        </w:tc>
        <w:tc>
          <w:tcPr>
            <w:tcW w:w="1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1.尺寸： 1800*700*800MM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2.材料组成：304不锈钢</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3.水龙头：3个不锈钢水龙头</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4.下水：含过滤防臭型下水</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5.沉淀池材质：不锈钢</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6.沉淀池过滤网：不锈钢</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7.沉淀池尺寸：1500*400*400MM</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8.进水管材质： 耐高温高压钢丝编织波纹管及PPR硬质管</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9.不锈钢水池采用国标304不锈钢板材一体焊接而成，整体结构简洁稳固；</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10.水池结构采用可拆卸结构，同时沉淀池和进水管接口采用双向可变换设计，方便使用现场不同进水口位置安装；</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11.整个水池配备水龙头、进水管、耐高温高压钢丝编织波纹管、下水、沉淀池、直通、三通等配件，方便老师使用和后期维护；</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12.沉淀池采用二级沉淀装置，方便泥浆等悬浊液能够在一定时间沉淀后进行清理，防止堵塞下游下水道；</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13.沉淀池配备四个把手，底部沉淀池安装四个万向轮，方便清理人员对沉淀池中的沉淀物清理和移动。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eastAsia="zh-CN" w:bidi="ar"/>
              </w:rPr>
            </w:pPr>
            <w:r>
              <w:rPr>
                <w:rFonts w:hint="eastAsia" w:asciiTheme="majorEastAsia" w:hAnsiTheme="majorEastAsia" w:eastAsiaTheme="majorEastAsia" w:cstheme="majorEastAsia"/>
                <w:color w:val="000000"/>
                <w:kern w:val="0"/>
                <w:sz w:val="21"/>
                <w:szCs w:val="21"/>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r>
      <w:tr>
        <w:tblPrEx>
          <w:tblCellMar>
            <w:top w:w="0" w:type="dxa"/>
            <w:left w:w="108" w:type="dxa"/>
            <w:bottom w:w="0" w:type="dxa"/>
            <w:right w:w="108" w:type="dxa"/>
          </w:tblCellMar>
        </w:tblPrEx>
        <w:trPr>
          <w:trHeight w:val="90" w:hRule="atLeast"/>
        </w:trPr>
        <w:tc>
          <w:tcPr>
            <w:tcW w:w="98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塑料</w:t>
            </w:r>
            <w:r>
              <w:rPr>
                <w:rFonts w:hint="eastAsia" w:asciiTheme="majorEastAsia" w:hAnsiTheme="majorEastAsia" w:eastAsiaTheme="majorEastAsia" w:cstheme="majorEastAsia"/>
                <w:color w:val="000000"/>
                <w:kern w:val="0"/>
                <w:sz w:val="21"/>
                <w:szCs w:val="21"/>
                <w:lang w:val="en-US" w:eastAsia="zh-CN" w:bidi="ar"/>
              </w:rPr>
              <w:t>泥</w:t>
            </w:r>
            <w:r>
              <w:rPr>
                <w:rFonts w:hint="eastAsia" w:asciiTheme="majorEastAsia" w:hAnsiTheme="majorEastAsia" w:eastAsiaTheme="majorEastAsia" w:cstheme="majorEastAsia"/>
                <w:color w:val="000000"/>
                <w:kern w:val="0"/>
                <w:sz w:val="21"/>
                <w:szCs w:val="21"/>
                <w:lang w:bidi="ar"/>
              </w:rPr>
              <w:t>桶</w:t>
            </w:r>
          </w:p>
        </w:tc>
        <w:tc>
          <w:tcPr>
            <w:tcW w:w="1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尺寸：500*750mm （直径*高度）,带轮子，轮子底拖带内扣设计能和桶体扣紧。</w:t>
            </w:r>
          </w:p>
          <w:p>
            <w:pPr>
              <w:widowControl/>
              <w:jc w:val="left"/>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用途：存放废泥，回收集中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eastAsia="zh-CN" w:bidi="ar"/>
              </w:rPr>
            </w:pPr>
            <w:r>
              <w:rPr>
                <w:rFonts w:hint="eastAsia" w:asciiTheme="majorEastAsia" w:hAnsiTheme="majorEastAsia" w:eastAsiaTheme="majorEastAsia" w:cstheme="majorEastAsia"/>
                <w:color w:val="000000"/>
                <w:kern w:val="0"/>
                <w:sz w:val="21"/>
                <w:szCs w:val="21"/>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tc>
      </w:tr>
      <w:tr>
        <w:tblPrEx>
          <w:tblCellMar>
            <w:top w:w="0" w:type="dxa"/>
            <w:left w:w="108" w:type="dxa"/>
            <w:bottom w:w="0" w:type="dxa"/>
            <w:right w:w="108" w:type="dxa"/>
          </w:tblCellMar>
        </w:tblPrEx>
        <w:trPr>
          <w:trHeight w:val="662" w:hRule="atLeast"/>
        </w:trPr>
        <w:tc>
          <w:tcPr>
            <w:tcW w:w="141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eastAsia="zh-CN" w:bidi="ar"/>
              </w:rPr>
            </w:pPr>
            <w:r>
              <w:rPr>
                <w:rFonts w:hint="eastAsia" w:asciiTheme="majorEastAsia" w:hAnsiTheme="majorEastAsia" w:eastAsiaTheme="majorEastAsia" w:cstheme="majorEastAsia"/>
                <w:color w:val="000000"/>
                <w:kern w:val="0"/>
                <w:sz w:val="21"/>
                <w:szCs w:val="21"/>
                <w:lang w:val="en-US" w:eastAsia="zh-CN" w:bidi="ar"/>
              </w:rPr>
              <w:t>合 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p>
        </w:tc>
      </w:tr>
    </w:tbl>
    <w:p>
      <w:pPr>
        <w:ind w:firstLine="4620" w:firstLineChars="2200"/>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MjQ0ZTRjODk2NTY3OGFkMTBhNzEyOThiMGU3NjQifQ=="/>
  </w:docVars>
  <w:rsids>
    <w:rsidRoot w:val="002128F9"/>
    <w:rsid w:val="0001569F"/>
    <w:rsid w:val="001C75DD"/>
    <w:rsid w:val="002128F9"/>
    <w:rsid w:val="0089530C"/>
    <w:rsid w:val="00E15008"/>
    <w:rsid w:val="073567C2"/>
    <w:rsid w:val="0B3B4DCD"/>
    <w:rsid w:val="0B9A65DC"/>
    <w:rsid w:val="11934507"/>
    <w:rsid w:val="126848AE"/>
    <w:rsid w:val="12AB2DB3"/>
    <w:rsid w:val="2E3963E9"/>
    <w:rsid w:val="37A42346"/>
    <w:rsid w:val="39CD16CE"/>
    <w:rsid w:val="3CCE238D"/>
    <w:rsid w:val="4313456B"/>
    <w:rsid w:val="46E65BB2"/>
    <w:rsid w:val="48494E83"/>
    <w:rsid w:val="59726164"/>
    <w:rsid w:val="5B927B35"/>
    <w:rsid w:val="5BAA4951"/>
    <w:rsid w:val="5EA734E4"/>
    <w:rsid w:val="61E20F2D"/>
    <w:rsid w:val="65842EB9"/>
    <w:rsid w:val="78474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font31"/>
    <w:basedOn w:val="5"/>
    <w:qFormat/>
    <w:uiPriority w:val="0"/>
    <w:rPr>
      <w:rFonts w:hint="eastAsia" w:ascii="仿宋" w:hAnsi="仿宋" w:eastAsia="仿宋" w:cs="仿宋"/>
      <w:b/>
      <w:bCs/>
      <w:color w:val="000000"/>
      <w:sz w:val="20"/>
      <w:szCs w:val="20"/>
      <w:u w:val="none"/>
    </w:rPr>
  </w:style>
  <w:style w:type="character" w:customStyle="1" w:styleId="7">
    <w:name w:val="页眉 字符"/>
    <w:basedOn w:val="5"/>
    <w:link w:val="3"/>
    <w:uiPriority w:val="0"/>
    <w:rPr>
      <w:rFonts w:asciiTheme="minorHAnsi" w:hAnsiTheme="minorHAnsi" w:eastAsiaTheme="minorEastAsia" w:cstheme="minorBidi"/>
      <w:kern w:val="2"/>
      <w:sz w:val="18"/>
      <w:szCs w:val="18"/>
    </w:rPr>
  </w:style>
  <w:style w:type="character" w:customStyle="1" w:styleId="8">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C47D-F562-4F04-BC42-74E63169E5F6}">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3626</Words>
  <Characters>4147</Characters>
  <Lines>15</Lines>
  <Paragraphs>4</Paragraphs>
  <TotalTime>0</TotalTime>
  <ScaleCrop>false</ScaleCrop>
  <LinksUpToDate>false</LinksUpToDate>
  <CharactersWithSpaces>4326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2021-09-25T02:28:00Z</dcterms:created>
  <dc:creator>Administrator</dc:creator>
  <cp:lastModifiedBy>苏墩宏</cp:lastModifiedBy>
  <dcterms:modified xsi:type="dcterms:W3CDTF">2022-10-10T12:01:59Z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80F5742746AA4361A99B13A316E3586E</vt:lpwstr>
  </property>
</Properties>
</file>